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1E" w:rsidRPr="00C8441E" w:rsidRDefault="00C8441E" w:rsidP="00C844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-474980</wp:posOffset>
            </wp:positionV>
            <wp:extent cx="608965" cy="730250"/>
            <wp:effectExtent l="0" t="0" r="635" b="0"/>
            <wp:wrapNone/>
            <wp:docPr id="1" name="Рисунок 1" descr="Константиновское СП Курганинского р-на од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1E" w:rsidRPr="00C8441E" w:rsidRDefault="00C8441E" w:rsidP="00C844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1E" w:rsidRPr="00C8441E" w:rsidRDefault="00C8441E" w:rsidP="00C844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1E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C8441E" w:rsidRPr="00C8441E" w:rsidRDefault="00C8441E" w:rsidP="00C8441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1E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C8441E" w:rsidRPr="00C8441E" w:rsidRDefault="00C8441E" w:rsidP="00C8441E">
      <w:pPr>
        <w:pStyle w:val="a5"/>
        <w:rPr>
          <w:rFonts w:ascii="Times New Roman" w:hAnsi="Times New Roman" w:cs="Times New Roman"/>
          <w:sz w:val="28"/>
        </w:rPr>
      </w:pPr>
    </w:p>
    <w:p w:rsidR="00C8441E" w:rsidRPr="00C8441E" w:rsidRDefault="00C8441E" w:rsidP="00C8441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4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8441E" w:rsidRPr="00C8441E" w:rsidRDefault="00C8441E" w:rsidP="00C8441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41E" w:rsidRPr="00C8441E" w:rsidRDefault="00C8441E" w:rsidP="00C8441E">
      <w:pPr>
        <w:pStyle w:val="a5"/>
        <w:rPr>
          <w:rFonts w:ascii="Times New Roman" w:hAnsi="Times New Roman" w:cs="Times New Roman"/>
          <w:sz w:val="24"/>
          <w:szCs w:val="24"/>
        </w:rPr>
      </w:pPr>
      <w:r w:rsidRPr="00C8441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844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41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16.12.2021</w:t>
      </w:r>
      <w:r w:rsidRPr="00C8441E">
        <w:rPr>
          <w:rFonts w:ascii="Times New Roman" w:hAnsi="Times New Roman" w:cs="Times New Roman"/>
          <w:sz w:val="24"/>
          <w:szCs w:val="24"/>
        </w:rPr>
        <w:tab/>
      </w:r>
      <w:r w:rsidRPr="00C8441E">
        <w:rPr>
          <w:rFonts w:ascii="Times New Roman" w:hAnsi="Times New Roman" w:cs="Times New Roman"/>
          <w:sz w:val="24"/>
          <w:szCs w:val="24"/>
        </w:rPr>
        <w:tab/>
      </w:r>
      <w:r w:rsidRPr="00C8441E">
        <w:rPr>
          <w:rFonts w:ascii="Times New Roman" w:hAnsi="Times New Roman" w:cs="Times New Roman"/>
          <w:sz w:val="24"/>
          <w:szCs w:val="24"/>
        </w:rPr>
        <w:tab/>
      </w:r>
      <w:r w:rsidRPr="00C8441E">
        <w:rPr>
          <w:rFonts w:ascii="Times New Roman" w:hAnsi="Times New Roman" w:cs="Times New Roman"/>
          <w:sz w:val="24"/>
          <w:szCs w:val="24"/>
        </w:rPr>
        <w:tab/>
      </w:r>
      <w:r w:rsidRPr="00C8441E">
        <w:rPr>
          <w:rFonts w:ascii="Times New Roman" w:hAnsi="Times New Roman" w:cs="Times New Roman"/>
          <w:sz w:val="24"/>
          <w:szCs w:val="24"/>
        </w:rPr>
        <w:tab/>
      </w:r>
      <w:r w:rsidRPr="00C8441E">
        <w:rPr>
          <w:rFonts w:ascii="Times New Roman" w:hAnsi="Times New Roman" w:cs="Times New Roman"/>
          <w:sz w:val="24"/>
          <w:szCs w:val="24"/>
        </w:rPr>
        <w:tab/>
      </w:r>
      <w:r w:rsidRPr="00C8441E">
        <w:rPr>
          <w:rFonts w:ascii="Times New Roman" w:hAnsi="Times New Roman" w:cs="Times New Roman"/>
          <w:sz w:val="24"/>
          <w:szCs w:val="24"/>
        </w:rPr>
        <w:tab/>
        <w:t xml:space="preserve"> №_</w:t>
      </w:r>
      <w:r>
        <w:rPr>
          <w:rFonts w:ascii="Times New Roman" w:hAnsi="Times New Roman" w:cs="Times New Roman"/>
          <w:sz w:val="24"/>
          <w:szCs w:val="24"/>
        </w:rPr>
        <w:t>205</w:t>
      </w:r>
    </w:p>
    <w:p w:rsidR="00C8441E" w:rsidRPr="00C8441E" w:rsidRDefault="00C8441E" w:rsidP="00C844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8441E">
        <w:rPr>
          <w:rFonts w:ascii="Times New Roman" w:hAnsi="Times New Roman" w:cs="Times New Roman"/>
          <w:sz w:val="24"/>
          <w:szCs w:val="24"/>
        </w:rPr>
        <w:t>ст.Константиновская</w:t>
      </w:r>
    </w:p>
    <w:p w:rsidR="00927BAA" w:rsidRPr="00A43B0C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EE15F2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осуществлении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контроля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Константиновского сельского поселения </w:t>
      </w:r>
      <w:proofErr w:type="spellStart"/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2022 год </w:t>
      </w:r>
    </w:p>
    <w:p w:rsidR="00203693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7BAA" w:rsidRPr="00203693" w:rsidRDefault="00927BAA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anchor="/document/74449814/entry/0" w:history="1">
        <w:r w:rsidRPr="00203693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зарегистрированного управлением Министерства юстиции Российской Федерации по Краснодарскому краю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8 июня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235173042018001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осуществлении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2022 год (далее - Программа), согласно приложения к настоящему постановлению.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2. 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Артемова Е.А.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периодичном печатном средстве массовой информации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 органов местного самоуправления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203693" w:rsidRP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:rsidR="005E5294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P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П.М. </w:t>
      </w:r>
      <w:proofErr w:type="spellStart"/>
      <w:r w:rsidR="005E5294">
        <w:rPr>
          <w:rFonts w:ascii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7BAA" w:rsidRPr="00203693" w:rsidRDefault="00927BAA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gramEnd"/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203693" w:rsidRPr="00203693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 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_____№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Программа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proofErr w:type="gram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охраняемым</w:t>
      </w:r>
      <w:proofErr w:type="gram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осуществлении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proofErr w:type="gram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благоустройства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03693" w:rsidRDefault="00203693" w:rsidP="00EE15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5294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 - Программа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соблюдением Правил благоустройства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муниципальный контроль).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характеристика проблем,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 решение которых направлена Программа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1.1. 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осуществляется муниципальный контроль правил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1.2. Органом, уполномоченным на осуществление функции муниципального контроля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является администрация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Должностным лицом, ответственным за реализацию мероприятий по осуществлению муниципального контроля правил благоустройства является главный специалист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Должностное лицо при осуществлении муниципального контроля реализует права и несет обязанности, соблюдает ограничения и запреты, установленные </w:t>
      </w:r>
      <w:hyperlink r:id="rId6" w:anchor="/document/74449814/entry/0" w:history="1">
        <w:r w:rsidRPr="005E529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> 248-ФЗ).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1.3. В соответствии с действующим законодательством, муниципальный контроль осуществляется в форме проведения внеплановых проверок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соблюдения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согласно нормативно правовых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сельское поселение).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1.4. 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являются следующие факторы: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>) не сформировано понимание исполнения требований правил благоустройства у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>) 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>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1.5. 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если иной порядок не установлен федеральным законом, выдаются администрацией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Администрация).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1.6. 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в рамках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год утверждается ежегодно, до 20 декабря текущего года.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1.7. Для целей настоящей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термины и их определения: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Профилактическое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отвечающее следующим признакам: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принуждения и рекомендательный характер мероприятий для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направленность на выявление причин и факторов несоблюдения обязательных требований;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организационной связи с мероприятиями по контролю.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 Цели и задачи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2.1. Цели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уровня благоустройства, соблюдения чистоты и порядка.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Предотвращение угрозы безопасности жизни и здоровья людей.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Увеличение доли хозяйствующих субъектов, соблюдающих требования в сфере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2.2. Задачи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создание системы консультирования и информирования подконтрольных субъектов.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3. План мероприятий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правил благоустройства на 2022 год и планируемый период (Приложение к Программе).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4. Показатели результативности и эффективности программы профилактики рисков причинения вреда (ущерба)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 показателям качества профилактической деятельности относятся следующие: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 Количество выданных предписаний;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 Количество субъектов, которым выданы предписания;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Ожидаемые конечные результаты: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снижение уровня административной нагрузки на подконтрольные субъекты.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203693" w:rsidRPr="00203693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профилактике нарушений в рамках осуществления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правил благоустройства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9739B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2022 год </w:t>
      </w:r>
    </w:p>
    <w:p w:rsidR="00EE15F2" w:rsidRPr="00203693" w:rsidRDefault="00EE15F2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666"/>
      </w:tblGrid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  п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Константиновского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в сети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  контроля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  текстов соответствующих нормативных правовых актов.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  субъектов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отношении которых осуществляется муниципальный контроль о проведении семинаров и конференций, разъяснительной  работы  в  средствах массовой  информации  и  иными  способами.  </w:t>
            </w: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  случае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7" w:anchor="/document/74449814/entry/0" w:history="1">
              <w:r w:rsidRPr="0089739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31.07.2020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248-ФЗ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  государственном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контроле (надзоре) и муниципальном контроле в Российской Федерации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   иной   порядок   не   установлен федеральным законом.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внеплановых проверок 2 раза в год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и обобщение правоприменительной практики, выявление наиболее часто встречающихся случаев 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</w:tr>
    </w:tbl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3E1D" w:rsidRPr="00203693" w:rsidRDefault="00803E1D" w:rsidP="008973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03E1D" w:rsidRPr="00203693" w:rsidSect="002036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3"/>
    <w:rsid w:val="00183EE5"/>
    <w:rsid w:val="00203693"/>
    <w:rsid w:val="005E5294"/>
    <w:rsid w:val="00803E1D"/>
    <w:rsid w:val="0089739B"/>
    <w:rsid w:val="00927BAA"/>
    <w:rsid w:val="00A43B0C"/>
    <w:rsid w:val="00C8441E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6E04-16B4-43DD-96FB-F6CF7E9D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8</cp:revision>
  <cp:lastPrinted>2022-01-19T07:21:00Z</cp:lastPrinted>
  <dcterms:created xsi:type="dcterms:W3CDTF">2021-11-23T11:55:00Z</dcterms:created>
  <dcterms:modified xsi:type="dcterms:W3CDTF">2022-02-11T08:49:00Z</dcterms:modified>
</cp:coreProperties>
</file>